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D3" w:rsidRDefault="001A1BA0" w:rsidP="001A1BA0">
      <w:pPr>
        <w:pStyle w:val="Titre1"/>
        <w:jc w:val="center"/>
        <w:rPr>
          <w:b/>
        </w:rPr>
      </w:pPr>
      <w:r w:rsidRPr="001A1BA0">
        <w:rPr>
          <w:b/>
        </w:rPr>
        <w:t>Grille d’aide à la rédaction d’un sujet E2 – Baccalauréat Accompagnement soins et services à la personne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98"/>
        <w:gridCol w:w="2059"/>
        <w:gridCol w:w="4954"/>
        <w:gridCol w:w="1519"/>
        <w:gridCol w:w="1431"/>
      </w:tblGrid>
      <w:tr w:rsidR="001A1BA0" w:rsidTr="001A1BA0"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984" w:type="pct"/>
            <w:tcBorders>
              <w:left w:val="single" w:sz="4" w:space="0" w:color="auto"/>
            </w:tcBorders>
            <w:vAlign w:val="center"/>
          </w:tcPr>
          <w:p w:rsidR="001A1BA0" w:rsidRPr="001A1BA0" w:rsidRDefault="001A1BA0" w:rsidP="001A1BA0">
            <w:pPr>
              <w:pStyle w:val="Sansinterligne"/>
              <w:jc w:val="center"/>
              <w:rPr>
                <w:b/>
              </w:rPr>
            </w:pPr>
            <w:r w:rsidRPr="001A1BA0">
              <w:rPr>
                <w:b/>
              </w:rPr>
              <w:t>Attendus définition épreuve</w:t>
            </w:r>
          </w:p>
        </w:tc>
        <w:tc>
          <w:tcPr>
            <w:tcW w:w="2368" w:type="pct"/>
            <w:vAlign w:val="center"/>
          </w:tcPr>
          <w:p w:rsidR="001A1BA0" w:rsidRPr="001A1BA0" w:rsidRDefault="001A1BA0" w:rsidP="001A1BA0">
            <w:pPr>
              <w:pStyle w:val="Sansinterligne"/>
              <w:jc w:val="center"/>
              <w:rPr>
                <w:rStyle w:val="oypena"/>
                <w:b/>
                <w:color w:val="000000"/>
              </w:rPr>
            </w:pPr>
            <w:r w:rsidRPr="001A1BA0">
              <w:rPr>
                <w:rStyle w:val="oypena"/>
                <w:b/>
                <w:color w:val="000000"/>
              </w:rPr>
              <w:t>Sous-compétences</w:t>
            </w:r>
          </w:p>
        </w:tc>
        <w:tc>
          <w:tcPr>
            <w:tcW w:w="726" w:type="pct"/>
            <w:vAlign w:val="center"/>
          </w:tcPr>
          <w:p w:rsidR="001A1BA0" w:rsidRPr="001A1BA0" w:rsidRDefault="001A1BA0" w:rsidP="001A1BA0">
            <w:pPr>
              <w:pStyle w:val="Sansinterligne"/>
              <w:jc w:val="center"/>
              <w:rPr>
                <w:b/>
              </w:rPr>
            </w:pPr>
            <w:r w:rsidRPr="001A1BA0">
              <w:rPr>
                <w:b/>
              </w:rPr>
              <w:t>Savoirs associés mobilisés</w:t>
            </w:r>
          </w:p>
        </w:tc>
        <w:tc>
          <w:tcPr>
            <w:tcW w:w="684" w:type="pct"/>
            <w:vAlign w:val="center"/>
          </w:tcPr>
          <w:p w:rsidR="001A1BA0" w:rsidRPr="001A1BA0" w:rsidRDefault="001A1BA0" w:rsidP="001A1BA0">
            <w:pPr>
              <w:pStyle w:val="Sansinterligne"/>
              <w:jc w:val="center"/>
              <w:rPr>
                <w:b/>
              </w:rPr>
            </w:pPr>
            <w:r w:rsidRPr="001A1BA0">
              <w:rPr>
                <w:b/>
              </w:rPr>
              <w:t>Questions en lien avec la compétence</w:t>
            </w:r>
          </w:p>
        </w:tc>
      </w:tr>
      <w:tr w:rsidR="001A1BA0" w:rsidTr="001A1BA0">
        <w:tc>
          <w:tcPr>
            <w:tcW w:w="238" w:type="pct"/>
            <w:vMerge w:val="restart"/>
            <w:tcBorders>
              <w:top w:val="single" w:sz="4" w:space="0" w:color="auto"/>
            </w:tcBorders>
            <w:shd w:val="clear" w:color="auto" w:fill="F2F7FC"/>
            <w:textDirection w:val="btLr"/>
          </w:tcPr>
          <w:p w:rsidR="001A1BA0" w:rsidRPr="001A1BA0" w:rsidRDefault="001A1BA0" w:rsidP="001A1BA0">
            <w:pPr>
              <w:pStyle w:val="Sansinterligne"/>
              <w:jc w:val="center"/>
              <w:rPr>
                <w:sz w:val="20"/>
              </w:rPr>
            </w:pPr>
            <w:r w:rsidRPr="001A1BA0">
              <w:rPr>
                <w:rStyle w:val="oypena"/>
                <w:sz w:val="20"/>
              </w:rPr>
              <w:t>4.1. Analyser les besoins d’un public dans un contexte donné</w:t>
            </w:r>
          </w:p>
        </w:tc>
        <w:tc>
          <w:tcPr>
            <w:tcW w:w="984" w:type="pct"/>
            <w:vMerge w:val="restart"/>
            <w:shd w:val="clear" w:color="auto" w:fill="F2F7FC"/>
            <w:vAlign w:val="center"/>
          </w:tcPr>
          <w:p w:rsidR="001A1BA0" w:rsidRDefault="001A1BA0" w:rsidP="001A1BA0">
            <w:pPr>
              <w:pStyle w:val="Sansinterligne"/>
            </w:pPr>
            <w:proofErr w:type="gramStart"/>
            <w:r>
              <w:rPr>
                <w:rStyle w:val="oypena"/>
                <w:b/>
                <w:bCs/>
                <w:color w:val="000000"/>
              </w:rPr>
              <w:t>identifier</w:t>
            </w:r>
            <w:proofErr w:type="gramEnd"/>
            <w:r>
              <w:rPr>
                <w:rStyle w:val="oypena"/>
                <w:b/>
                <w:bCs/>
                <w:color w:val="000000"/>
              </w:rPr>
              <w:t xml:space="preserve"> </w:t>
            </w:r>
            <w:r>
              <w:rPr>
                <w:rStyle w:val="oypena"/>
                <w:color w:val="000000"/>
              </w:rPr>
              <w:t>des besoins sur des aspects simples de santé à partir de données et/ou concevoir ou proposer un outil de recueil de besoins ;</w:t>
            </w:r>
          </w:p>
        </w:tc>
        <w:tc>
          <w:tcPr>
            <w:tcW w:w="2368" w:type="pct"/>
            <w:shd w:val="clear" w:color="auto" w:fill="F2F7FC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4.1.1 Concevoir et utiliser un outil de recueil des besoins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Conception d’un outil de recueil :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– adapté au public pressenti, aux conditions matérielles ;</w:t>
            </w:r>
          </w:p>
          <w:p w:rsidR="001A1BA0" w:rsidRDefault="001A1BA0" w:rsidP="002C050D">
            <w:pPr>
              <w:pStyle w:val="Sansinterligne"/>
              <w:rPr>
                <w:rStyle w:val="oypena"/>
                <w:i/>
                <w:iCs/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– en respectant les règles de confidentialité et de déontologie.</w:t>
            </w:r>
          </w:p>
          <w:p w:rsidR="001A1BA0" w:rsidRPr="006D101A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Utilisation conforme à la réglementation liée à la protection des données personnelles</w:t>
            </w:r>
          </w:p>
        </w:tc>
        <w:tc>
          <w:tcPr>
            <w:tcW w:w="726" w:type="pct"/>
            <w:shd w:val="clear" w:color="auto" w:fill="F2F7FC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F2F7FC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/>
            <w:shd w:val="clear" w:color="auto" w:fill="F2F7FC"/>
          </w:tcPr>
          <w:p w:rsidR="001A1BA0" w:rsidRPr="001A1BA0" w:rsidRDefault="001A1BA0" w:rsidP="001A1BA0">
            <w:pPr>
              <w:pStyle w:val="Sansinterligne"/>
              <w:jc w:val="center"/>
              <w:rPr>
                <w:sz w:val="20"/>
              </w:rPr>
            </w:pPr>
          </w:p>
        </w:tc>
        <w:tc>
          <w:tcPr>
            <w:tcW w:w="984" w:type="pct"/>
            <w:vMerge/>
            <w:shd w:val="clear" w:color="auto" w:fill="F2F7FC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2368" w:type="pct"/>
            <w:shd w:val="clear" w:color="auto" w:fill="F2F7FC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4.1.2 Repérer et hiérarchiser les besoins d’un public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Exploitation de l’outil de recueil et repérage exhaustif des besoins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Analyse objective des besoins repérés</w:t>
            </w:r>
          </w:p>
          <w:p w:rsidR="001A1BA0" w:rsidRPr="006D101A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Sélection et hiérarchisation des besoins</w:t>
            </w:r>
          </w:p>
        </w:tc>
        <w:tc>
          <w:tcPr>
            <w:tcW w:w="726" w:type="pct"/>
            <w:shd w:val="clear" w:color="auto" w:fill="F2F7FC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F2F7FC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/>
            <w:shd w:val="clear" w:color="auto" w:fill="F2F7FC"/>
          </w:tcPr>
          <w:p w:rsidR="001A1BA0" w:rsidRPr="001A1BA0" w:rsidRDefault="001A1BA0" w:rsidP="001A1BA0">
            <w:pPr>
              <w:pStyle w:val="Sansinterligne"/>
              <w:jc w:val="center"/>
              <w:rPr>
                <w:rStyle w:val="oypena"/>
                <w:sz w:val="20"/>
              </w:rPr>
            </w:pPr>
          </w:p>
        </w:tc>
        <w:tc>
          <w:tcPr>
            <w:tcW w:w="984" w:type="pct"/>
            <w:shd w:val="clear" w:color="auto" w:fill="F2F7FC"/>
          </w:tcPr>
          <w:p w:rsidR="001A1BA0" w:rsidRDefault="001A1BA0" w:rsidP="002C050D">
            <w:pPr>
              <w:pStyle w:val="Sansinterligne"/>
            </w:pPr>
            <w:proofErr w:type="gramStart"/>
            <w:r>
              <w:rPr>
                <w:rStyle w:val="oypena"/>
                <w:b/>
                <w:bCs/>
                <w:color w:val="000000"/>
              </w:rPr>
              <w:t>argumenter</w:t>
            </w:r>
            <w:proofErr w:type="gramEnd"/>
            <w:r>
              <w:rPr>
                <w:rStyle w:val="oypena"/>
                <w:b/>
                <w:bCs/>
                <w:color w:val="000000"/>
              </w:rPr>
              <w:t xml:space="preserve"> le choix d’une thématique</w:t>
            </w:r>
            <w:r>
              <w:rPr>
                <w:rStyle w:val="oypena"/>
                <w:color w:val="000000"/>
              </w:rPr>
              <w:t xml:space="preserve"> d’action d’éducation à la santé en adéquation avec les besoins repérés et le public concerné </w:t>
            </w:r>
          </w:p>
        </w:tc>
        <w:tc>
          <w:tcPr>
            <w:tcW w:w="2368" w:type="pct"/>
            <w:shd w:val="clear" w:color="auto" w:fill="F2F7FC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4.1.3 Choisir la thématique en fonction du besoin ciblé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Choix de la thématique :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– en adéquation avec le besoin retenu, le public ciblé ;</w:t>
            </w:r>
          </w:p>
          <w:p w:rsidR="001A1BA0" w:rsidRPr="006D101A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– dans le respect du projet d’établissement ou de service.</w:t>
            </w:r>
          </w:p>
        </w:tc>
        <w:tc>
          <w:tcPr>
            <w:tcW w:w="726" w:type="pct"/>
            <w:shd w:val="clear" w:color="auto" w:fill="F2F7FC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F2F7FC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 w:val="restart"/>
            <w:shd w:val="clear" w:color="auto" w:fill="DEEAF6" w:themeFill="accent5" w:themeFillTint="33"/>
            <w:textDirection w:val="btLr"/>
          </w:tcPr>
          <w:p w:rsidR="001A1BA0" w:rsidRPr="001A1BA0" w:rsidRDefault="001A1BA0" w:rsidP="001A1BA0">
            <w:pPr>
              <w:pStyle w:val="Sansinterligne"/>
              <w:jc w:val="center"/>
              <w:rPr>
                <w:rStyle w:val="oypena"/>
                <w:sz w:val="20"/>
              </w:rPr>
            </w:pPr>
            <w:r w:rsidRPr="001A1BA0">
              <w:rPr>
                <w:rStyle w:val="oypena"/>
                <w:sz w:val="20"/>
              </w:rPr>
              <w:t>4.2. Concevoir une action d’éducation à la santé</w:t>
            </w:r>
          </w:p>
        </w:tc>
        <w:tc>
          <w:tcPr>
            <w:tcW w:w="984" w:type="pct"/>
            <w:shd w:val="clear" w:color="auto" w:fill="DEEAF6" w:themeFill="accent5" w:themeFillTint="33"/>
            <w:vAlign w:val="center"/>
          </w:tcPr>
          <w:p w:rsidR="001A1BA0" w:rsidRDefault="001A1BA0" w:rsidP="001A1BA0">
            <w:pPr>
              <w:pStyle w:val="Sansinterligne"/>
              <w:jc w:val="center"/>
            </w:pPr>
            <w:proofErr w:type="gramStart"/>
            <w:r w:rsidRPr="001A1BA0">
              <w:rPr>
                <w:rStyle w:val="oypena"/>
                <w:b/>
                <w:color w:val="000000"/>
              </w:rPr>
              <w:t>proposer</w:t>
            </w:r>
            <w:proofErr w:type="gramEnd"/>
            <w:r>
              <w:rPr>
                <w:rStyle w:val="oypena"/>
                <w:color w:val="000000"/>
              </w:rPr>
              <w:t xml:space="preserve"> une ou des actions à mettre en place ;</w:t>
            </w:r>
          </w:p>
        </w:tc>
        <w:tc>
          <w:tcPr>
            <w:tcW w:w="2368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4.2.1 Proposer une (ou des) action(s)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Cohérence entre la/les action(s) retenue(s) en lien avec le public et la thématique envisagée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Objectifs pertinents de l’action proposée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Faisabilité de (s) l’action(s) proposée(s)</w:t>
            </w:r>
          </w:p>
          <w:p w:rsidR="001A1BA0" w:rsidRPr="006D101A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Respect des contraintes institutionnelles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984" w:type="pct"/>
            <w:vMerge w:val="restart"/>
            <w:shd w:val="clear" w:color="auto" w:fill="DEEAF6" w:themeFill="accent5" w:themeFillTint="33"/>
            <w:vAlign w:val="center"/>
          </w:tcPr>
          <w:p w:rsidR="001A1BA0" w:rsidRDefault="001A1BA0" w:rsidP="001A1BA0">
            <w:pPr>
              <w:pStyle w:val="Sansinterligne"/>
              <w:jc w:val="center"/>
            </w:pPr>
            <w:proofErr w:type="gramStart"/>
            <w:r>
              <w:rPr>
                <w:rStyle w:val="oypena"/>
                <w:b/>
                <w:bCs/>
                <w:color w:val="000000"/>
              </w:rPr>
              <w:t>concevoir</w:t>
            </w:r>
            <w:proofErr w:type="gramEnd"/>
            <w:r>
              <w:rPr>
                <w:rStyle w:val="oypena"/>
                <w:color w:val="000000"/>
              </w:rPr>
              <w:t xml:space="preserve"> une action (objectifs, modalités, lieu, partenariats …) ;</w:t>
            </w:r>
          </w:p>
        </w:tc>
        <w:tc>
          <w:tcPr>
            <w:tcW w:w="2368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4.2.3 Identifier partenaires et dispositifs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I</w:t>
            </w:r>
            <w:r>
              <w:rPr>
                <w:rStyle w:val="oypena"/>
                <w:i/>
                <w:iCs/>
                <w:color w:val="000000"/>
              </w:rPr>
              <w:t>dentification pertinente des partenaires ou dispositifs en lien avec la thématique et les actions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Prise en compte des missions des partenaires</w:t>
            </w:r>
          </w:p>
          <w:p w:rsidR="001A1BA0" w:rsidRPr="006D101A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Sollicitation de différents partenaires (institutionnels, associatifs…)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984" w:type="pct"/>
            <w:vMerge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2368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4.2.4 Planifier l’action d’éducation à la santé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Identification des différentes étapes du projet d’action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Proposition du calendrier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Prise en compte des contraintes et des ressources disponibles</w:t>
            </w:r>
          </w:p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Communication autour de l’action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</w:p>
        </w:tc>
        <w:tc>
          <w:tcPr>
            <w:tcW w:w="984" w:type="pct"/>
            <w:shd w:val="clear" w:color="auto" w:fill="DEEAF6" w:themeFill="accent5" w:themeFillTint="33"/>
            <w:vAlign w:val="center"/>
          </w:tcPr>
          <w:p w:rsidR="001A1BA0" w:rsidRDefault="001A1BA0" w:rsidP="001A1BA0">
            <w:pPr>
              <w:pStyle w:val="Sansinterligne"/>
            </w:pPr>
            <w:proofErr w:type="gramStart"/>
            <w:r>
              <w:rPr>
                <w:rStyle w:val="oypena"/>
                <w:b/>
                <w:bCs/>
                <w:color w:val="000000"/>
              </w:rPr>
              <w:t>justifier</w:t>
            </w:r>
            <w:proofErr w:type="gramEnd"/>
            <w:r>
              <w:rPr>
                <w:rStyle w:val="oypena"/>
                <w:b/>
                <w:bCs/>
                <w:color w:val="000000"/>
              </w:rPr>
              <w:t xml:space="preserve"> le choix</w:t>
            </w:r>
            <w:r>
              <w:rPr>
                <w:rStyle w:val="oypena"/>
                <w:color w:val="000000"/>
              </w:rPr>
              <w:t xml:space="preserve"> d’un support ou </w:t>
            </w:r>
            <w:r>
              <w:rPr>
                <w:rStyle w:val="oypena"/>
                <w:b/>
                <w:bCs/>
                <w:color w:val="000000"/>
              </w:rPr>
              <w:t>concevoir</w:t>
            </w:r>
            <w:r>
              <w:rPr>
                <w:rStyle w:val="oypena"/>
                <w:color w:val="000000"/>
              </w:rPr>
              <w:t xml:space="preserve"> une maquette de support pour l’action retenue ;</w:t>
            </w:r>
          </w:p>
        </w:tc>
        <w:tc>
          <w:tcPr>
            <w:tcW w:w="2368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4.2.2 Élaborer ou sélectionner des supports de prévention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Supports adaptés au public, à la thématique et au contexte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Outils et supports favorisant l’adhésion des participants</w:t>
            </w:r>
          </w:p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t>Utilisation du numérique pour la conception des supports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DEEAF6" w:themeFill="accent5" w:themeFillTint="33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 w:val="restart"/>
            <w:shd w:val="clear" w:color="auto" w:fill="BDD6EE" w:themeFill="accent5" w:themeFillTint="66"/>
            <w:textDirection w:val="btLr"/>
            <w:vAlign w:val="center"/>
          </w:tcPr>
          <w:p w:rsidR="001A1BA0" w:rsidRDefault="001A1BA0" w:rsidP="001A1BA0">
            <w:pPr>
              <w:pStyle w:val="Sansinterligne"/>
              <w:ind w:left="113" w:right="113"/>
              <w:jc w:val="center"/>
              <w:rPr>
                <w:rStyle w:val="oypena"/>
                <w:color w:val="000000"/>
              </w:rPr>
            </w:pPr>
            <w:r>
              <w:rPr>
                <w:rStyle w:val="oypena"/>
                <w:color w:val="000000"/>
              </w:rPr>
              <w:lastRenderedPageBreak/>
              <w:t>4.3. Mettre en œuvre et évaluer l’action d’éducation à la santé</w:t>
            </w:r>
          </w:p>
        </w:tc>
        <w:tc>
          <w:tcPr>
            <w:tcW w:w="984" w:type="pct"/>
            <w:vMerge w:val="restart"/>
            <w:shd w:val="clear" w:color="auto" w:fill="BDD6EE" w:themeFill="accent5" w:themeFillTint="66"/>
            <w:vAlign w:val="center"/>
          </w:tcPr>
          <w:p w:rsidR="001A1BA0" w:rsidRDefault="001A1BA0" w:rsidP="001A1BA0">
            <w:pPr>
              <w:pStyle w:val="Sansinterligne"/>
              <w:rPr>
                <w:rStyle w:val="oypena"/>
                <w:color w:val="000000"/>
              </w:rPr>
            </w:pPr>
            <w:proofErr w:type="gramStart"/>
            <w:r>
              <w:rPr>
                <w:rStyle w:val="oypena"/>
                <w:b/>
                <w:bCs/>
                <w:color w:val="000000"/>
              </w:rPr>
              <w:t>proposer</w:t>
            </w:r>
            <w:proofErr w:type="gramEnd"/>
            <w:r>
              <w:rPr>
                <w:rStyle w:val="oypena"/>
                <w:b/>
                <w:bCs/>
                <w:color w:val="000000"/>
              </w:rPr>
              <w:t xml:space="preserve"> </w:t>
            </w:r>
            <w:r>
              <w:rPr>
                <w:rStyle w:val="oypena"/>
                <w:color w:val="000000"/>
              </w:rPr>
              <w:t>la ou les techniques d’animation retenue(s) pour la réalisation de l’action ;</w:t>
            </w:r>
          </w:p>
        </w:tc>
        <w:tc>
          <w:tcPr>
            <w:tcW w:w="2368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4.3.1 Animer des ateliers ou réaliser des actions dans une visée éducative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Utilisation de techniques d’animation en adéquation avec le public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Utilisation pertinente des supports conçus ou sélectionnés dont s</w:t>
            </w:r>
            <w:bookmarkStart w:id="0" w:name="_GoBack"/>
            <w:bookmarkEnd w:id="0"/>
            <w:r>
              <w:rPr>
                <w:rStyle w:val="oypena"/>
                <w:i/>
                <w:iCs/>
                <w:color w:val="000000"/>
              </w:rPr>
              <w:t>upports numériques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Attitude adaptée au cours des ateliers (posture professionnelle, respect de la personne, qualité d’écoute)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Attitude éducative lors des activités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Absence de jugement, message non stigmatisant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Sollicitation des participants</w:t>
            </w:r>
          </w:p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Respect des moyens et des contraintes institutionnelles</w:t>
            </w:r>
          </w:p>
        </w:tc>
        <w:tc>
          <w:tcPr>
            <w:tcW w:w="726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</w:p>
        </w:tc>
        <w:tc>
          <w:tcPr>
            <w:tcW w:w="984" w:type="pct"/>
            <w:vMerge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rStyle w:val="oypena"/>
                <w:b/>
                <w:bCs/>
                <w:color w:val="000000"/>
              </w:rPr>
            </w:pPr>
          </w:p>
        </w:tc>
        <w:tc>
          <w:tcPr>
            <w:tcW w:w="2368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4.3.2 Participer à des campagnes de prévention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Repérage de campagnes de prévention locales ou nationales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Relai de l’information dans le service, la structure</w:t>
            </w:r>
          </w:p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Implication dans l’action de prévention déclinée au niveau national, local</w:t>
            </w:r>
          </w:p>
        </w:tc>
        <w:tc>
          <w:tcPr>
            <w:tcW w:w="726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</w:p>
        </w:tc>
        <w:tc>
          <w:tcPr>
            <w:tcW w:w="984" w:type="pct"/>
            <w:vMerge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rStyle w:val="oypena"/>
                <w:b/>
                <w:bCs/>
                <w:color w:val="000000"/>
              </w:rPr>
            </w:pPr>
          </w:p>
        </w:tc>
        <w:tc>
          <w:tcPr>
            <w:tcW w:w="2368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4.3.3 Orienter vers des personnes ressources, des dispositifs d’éducation à la santé existants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Respect de la limite de ses compétences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Pertinence de l’orientation vers la personne ressource ou le dispositif adapté</w:t>
            </w:r>
          </w:p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Respect de la confidentialité</w:t>
            </w:r>
          </w:p>
        </w:tc>
        <w:tc>
          <w:tcPr>
            <w:tcW w:w="726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</w:p>
        </w:tc>
        <w:tc>
          <w:tcPr>
            <w:tcW w:w="984" w:type="pct"/>
            <w:vMerge w:val="restart"/>
            <w:shd w:val="clear" w:color="auto" w:fill="BDD6EE" w:themeFill="accent5" w:themeFillTint="66"/>
            <w:vAlign w:val="center"/>
          </w:tcPr>
          <w:p w:rsidR="001A1BA0" w:rsidRDefault="001A1BA0" w:rsidP="001A1BA0">
            <w:pPr>
              <w:pStyle w:val="Sansinterligne"/>
              <w:rPr>
                <w:rStyle w:val="oypena"/>
                <w:b/>
                <w:bCs/>
                <w:color w:val="000000"/>
              </w:rPr>
            </w:pPr>
            <w:proofErr w:type="gramStart"/>
            <w:r>
              <w:rPr>
                <w:rStyle w:val="oypena"/>
                <w:b/>
                <w:bCs/>
                <w:color w:val="000000"/>
              </w:rPr>
              <w:t>analyser</w:t>
            </w:r>
            <w:proofErr w:type="gramEnd"/>
            <w:r>
              <w:rPr>
                <w:rStyle w:val="oypena"/>
                <w:b/>
                <w:bCs/>
                <w:color w:val="000000"/>
              </w:rPr>
              <w:t xml:space="preserve"> un bilan </w:t>
            </w:r>
            <w:r>
              <w:rPr>
                <w:rStyle w:val="oypena"/>
                <w:color w:val="000000"/>
              </w:rPr>
              <w:t xml:space="preserve">de l’action menée ou rédiger un bilan </w:t>
            </w:r>
            <w:r>
              <w:rPr>
                <w:rStyle w:val="oypena"/>
                <w:b/>
                <w:bCs/>
                <w:color w:val="000000"/>
              </w:rPr>
              <w:t xml:space="preserve">à partir d’éléments fournis </w:t>
            </w:r>
            <w:r>
              <w:rPr>
                <w:rStyle w:val="oypena"/>
                <w:color w:val="000000"/>
              </w:rPr>
              <w:t xml:space="preserve">et </w:t>
            </w:r>
            <w:r>
              <w:rPr>
                <w:rStyle w:val="oypena"/>
                <w:b/>
                <w:bCs/>
                <w:color w:val="000000"/>
              </w:rPr>
              <w:t xml:space="preserve">proposer </w:t>
            </w:r>
            <w:r>
              <w:rPr>
                <w:rStyle w:val="oypena"/>
                <w:color w:val="000000"/>
              </w:rPr>
              <w:t>des mesures correctives le cas échéant.</w:t>
            </w:r>
          </w:p>
        </w:tc>
        <w:tc>
          <w:tcPr>
            <w:tcW w:w="2368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4.3.4 Réaliser un bilan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Indicateurs d’évaluation exploitables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Mesure des écarts par rapport aux objectifs fixés</w:t>
            </w:r>
          </w:p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Formulation de pistes d’amélioration si nécessaire</w:t>
            </w:r>
          </w:p>
        </w:tc>
        <w:tc>
          <w:tcPr>
            <w:tcW w:w="726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</w:tr>
      <w:tr w:rsidR="001A1BA0" w:rsidTr="001A1BA0">
        <w:tc>
          <w:tcPr>
            <w:tcW w:w="238" w:type="pct"/>
            <w:vMerge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</w:p>
        </w:tc>
        <w:tc>
          <w:tcPr>
            <w:tcW w:w="984" w:type="pct"/>
            <w:vMerge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rStyle w:val="oypena"/>
                <w:b/>
                <w:bCs/>
                <w:color w:val="000000"/>
              </w:rPr>
            </w:pPr>
          </w:p>
        </w:tc>
        <w:tc>
          <w:tcPr>
            <w:tcW w:w="2368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color w:val="000000"/>
              </w:rPr>
              <w:t>4.3.5 Rédiger des comptes rendus, des bilans, des synthèses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Compte rendu et synthèse objectifs et exhaustifs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Qualité rédactionnelle de l’écrit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Utilisation d’un vocabulaire professionnel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Utilisation du numérique selon les règles en usage dans le service</w:t>
            </w:r>
          </w:p>
          <w:p w:rsidR="001A1BA0" w:rsidRDefault="001A1BA0" w:rsidP="002C050D">
            <w:pPr>
              <w:pStyle w:val="Sansinterligne"/>
              <w:rPr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Respect de la confidentialité dans la rédaction et la diffusion du document</w:t>
            </w:r>
          </w:p>
          <w:p w:rsidR="001A1BA0" w:rsidRDefault="001A1BA0" w:rsidP="002C050D">
            <w:pPr>
              <w:pStyle w:val="Sansinterligne"/>
              <w:rPr>
                <w:rStyle w:val="oypena"/>
                <w:color w:val="000000"/>
              </w:rPr>
            </w:pPr>
            <w:r>
              <w:rPr>
                <w:rStyle w:val="oypena"/>
                <w:i/>
                <w:iCs/>
                <w:color w:val="000000"/>
              </w:rPr>
              <w:t>Choix pertinent des destinataires</w:t>
            </w:r>
          </w:p>
        </w:tc>
        <w:tc>
          <w:tcPr>
            <w:tcW w:w="726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  <w:tc>
          <w:tcPr>
            <w:tcW w:w="684" w:type="pct"/>
            <w:shd w:val="clear" w:color="auto" w:fill="BDD6EE" w:themeFill="accent5" w:themeFillTint="66"/>
          </w:tcPr>
          <w:p w:rsidR="001A1BA0" w:rsidRDefault="001A1BA0" w:rsidP="002C050D">
            <w:pPr>
              <w:pStyle w:val="Sansinterligne"/>
            </w:pPr>
          </w:p>
        </w:tc>
      </w:tr>
    </w:tbl>
    <w:p w:rsidR="001A1BA0" w:rsidRPr="001A1BA0" w:rsidRDefault="001A1BA0" w:rsidP="001A1BA0"/>
    <w:sectPr w:rsidR="001A1BA0" w:rsidRPr="001A1BA0" w:rsidSect="001A1B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1A"/>
    <w:rsid w:val="001A1BA0"/>
    <w:rsid w:val="001D33D3"/>
    <w:rsid w:val="002C0A1E"/>
    <w:rsid w:val="006D101A"/>
    <w:rsid w:val="00955D4D"/>
    <w:rsid w:val="00B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8BBA"/>
  <w15:chartTrackingRefBased/>
  <w15:docId w15:val="{1077AC78-0782-422A-9055-222E2B93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1B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6D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6D101A"/>
  </w:style>
  <w:style w:type="paragraph" w:styleId="Sansinterligne">
    <w:name w:val="No Spacing"/>
    <w:uiPriority w:val="1"/>
    <w:qFormat/>
    <w:rsid w:val="006D101A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A1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attuyer</dc:creator>
  <cp:keywords/>
  <dc:description/>
  <cp:lastModifiedBy>audrey attuyer</cp:lastModifiedBy>
  <cp:revision>2</cp:revision>
  <dcterms:created xsi:type="dcterms:W3CDTF">2025-03-09T16:14:00Z</dcterms:created>
  <dcterms:modified xsi:type="dcterms:W3CDTF">2025-03-09T16:14:00Z</dcterms:modified>
</cp:coreProperties>
</file>